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B0" w:rsidRDefault="00A809B0" w:rsidP="00A809B0"/>
    <w:tbl>
      <w:tblPr>
        <w:tblpPr w:leftFromText="141" w:rightFromText="141" w:vertAnchor="page" w:horzAnchor="margin" w:tblpY="178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622"/>
      </w:tblGrid>
      <w:tr w:rsidR="00101918" w:rsidRPr="00B80B2E" w:rsidTr="00101918">
        <w:trPr>
          <w:trHeight w:val="284"/>
        </w:trPr>
        <w:tc>
          <w:tcPr>
            <w:tcW w:w="1488" w:type="dxa"/>
            <w:shd w:val="clear" w:color="auto" w:fill="EEECE1" w:themeFill="background2"/>
            <w:vAlign w:val="center"/>
          </w:tcPr>
          <w:p w:rsidR="00101918" w:rsidRPr="003E0EB2" w:rsidRDefault="00101918" w:rsidP="00101918">
            <w:pPr>
              <w:rPr>
                <w:rFonts w:ascii="Arial" w:hAnsi="Arial" w:cs="Arial"/>
                <w:sz w:val="20"/>
              </w:rPr>
            </w:pPr>
            <w:r w:rsidRPr="003E0EB2">
              <w:rPr>
                <w:rFonts w:ascii="Arial" w:hAnsi="Arial" w:cs="Arial"/>
                <w:sz w:val="20"/>
              </w:rPr>
              <w:t xml:space="preserve">Č. </w:t>
            </w:r>
            <w:proofErr w:type="spellStart"/>
            <w:r w:rsidRPr="003E0EB2">
              <w:rPr>
                <w:rFonts w:ascii="Arial" w:hAnsi="Arial" w:cs="Arial"/>
                <w:sz w:val="20"/>
              </w:rPr>
              <w:t>j</w:t>
            </w:r>
            <w:proofErr w:type="spellEnd"/>
            <w:r w:rsidRPr="003E0EB2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3622" w:type="dxa"/>
          </w:tcPr>
          <w:p w:rsidR="00101918" w:rsidRPr="00207D97" w:rsidRDefault="00101918" w:rsidP="00E56657">
            <w:r w:rsidRPr="00E95D42">
              <w:t>SBEL/0</w:t>
            </w:r>
            <w:r w:rsidR="00E750BE">
              <w:t>6</w:t>
            </w:r>
            <w:r w:rsidR="00E56657">
              <w:t>84</w:t>
            </w:r>
            <w:r w:rsidRPr="00E95D42">
              <w:t>/17/No</w:t>
            </w:r>
          </w:p>
        </w:tc>
      </w:tr>
      <w:tr w:rsidR="00101918" w:rsidRPr="00B80B2E" w:rsidTr="00101918">
        <w:trPr>
          <w:trHeight w:val="509"/>
        </w:trPr>
        <w:tc>
          <w:tcPr>
            <w:tcW w:w="1488" w:type="dxa"/>
            <w:shd w:val="clear" w:color="auto" w:fill="EEECE1" w:themeFill="background2"/>
            <w:vAlign w:val="center"/>
          </w:tcPr>
          <w:p w:rsidR="00101918" w:rsidRPr="003E0EB2" w:rsidRDefault="00101918" w:rsidP="0010191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</w:t>
            </w:r>
            <w:proofErr w:type="spellEnd"/>
            <w:r>
              <w:rPr>
                <w:rFonts w:ascii="Arial" w:hAnsi="Arial" w:cs="Arial"/>
                <w:sz w:val="20"/>
              </w:rPr>
              <w:t>. zn.:</w:t>
            </w:r>
          </w:p>
        </w:tc>
        <w:tc>
          <w:tcPr>
            <w:tcW w:w="3622" w:type="dxa"/>
          </w:tcPr>
          <w:p w:rsidR="00101918" w:rsidRPr="00325C5A" w:rsidRDefault="00101918" w:rsidP="00101918">
            <w:pPr>
              <w:rPr>
                <w:color w:val="FF0000"/>
              </w:rPr>
            </w:pPr>
            <w:r w:rsidRPr="00E95D42">
              <w:t>S-SBEL/0343/17/</w:t>
            </w:r>
            <w:r w:rsidR="00E750BE">
              <w:t>4</w:t>
            </w:r>
          </w:p>
        </w:tc>
      </w:tr>
      <w:tr w:rsidR="00101918" w:rsidRPr="00B80B2E" w:rsidTr="00101918">
        <w:trPr>
          <w:trHeight w:val="509"/>
        </w:trPr>
        <w:tc>
          <w:tcPr>
            <w:tcW w:w="1488" w:type="dxa"/>
            <w:shd w:val="clear" w:color="auto" w:fill="EEECE1" w:themeFill="background2"/>
            <w:vAlign w:val="center"/>
          </w:tcPr>
          <w:p w:rsidR="00101918" w:rsidRDefault="00101918" w:rsidP="001019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Ostravě dne:</w:t>
            </w:r>
          </w:p>
        </w:tc>
        <w:tc>
          <w:tcPr>
            <w:tcW w:w="3622" w:type="dxa"/>
          </w:tcPr>
          <w:p w:rsidR="00101918" w:rsidRPr="00A50DAB" w:rsidRDefault="00E750BE" w:rsidP="00E750BE">
            <w:r>
              <w:t>30</w:t>
            </w:r>
            <w:r w:rsidR="00101918">
              <w:t>. 3. 2017</w:t>
            </w:r>
          </w:p>
        </w:tc>
      </w:tr>
    </w:tbl>
    <w:p w:rsidR="00A809B0" w:rsidRDefault="00A809B0" w:rsidP="00A809B0">
      <w:pPr>
        <w:rPr>
          <w:b/>
          <w:caps/>
          <w:sz w:val="32"/>
          <w:szCs w:val="32"/>
        </w:rPr>
      </w:pPr>
    </w:p>
    <w:p w:rsidR="00A809B0" w:rsidRDefault="00A809B0" w:rsidP="00A809B0">
      <w:pPr>
        <w:rPr>
          <w:b/>
          <w:caps/>
          <w:sz w:val="32"/>
          <w:szCs w:val="32"/>
        </w:rPr>
      </w:pPr>
    </w:p>
    <w:p w:rsidR="00B251B9" w:rsidRDefault="00B251B9" w:rsidP="00B251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Veřejná zakázka:</w:t>
      </w:r>
    </w:p>
    <w:p w:rsidR="00B251B9" w:rsidRPr="00B251B9" w:rsidRDefault="00B251B9" w:rsidP="00B251B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B251B9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Stavební úpravy objektu Domova pro seniory ve Staré </w:t>
      </w:r>
      <w:proofErr w:type="spellStart"/>
      <w:r w:rsidRPr="00B251B9">
        <w:rPr>
          <w:rFonts w:ascii="Arial" w:eastAsia="Times New Roman" w:hAnsi="Arial" w:cs="Arial"/>
          <w:b/>
          <w:sz w:val="32"/>
          <w:szCs w:val="32"/>
          <w:lang w:eastAsia="cs-CZ"/>
        </w:rPr>
        <w:t>Bělé</w:t>
      </w:r>
      <w:proofErr w:type="spellEnd"/>
    </w:p>
    <w:p w:rsidR="00E750BE" w:rsidRDefault="00E750BE" w:rsidP="00E750BE">
      <w:pPr>
        <w:pStyle w:val="Odstavecseseznamem"/>
        <w:numPr>
          <w:ilvl w:val="0"/>
          <w:numId w:val="16"/>
        </w:numPr>
        <w:jc w:val="both"/>
      </w:pPr>
      <w:r w:rsidRPr="00E750BE">
        <w:t>vysv</w:t>
      </w:r>
      <w:r w:rsidR="0063481F">
        <w:t>ětlení zadávací dokumentace č. 2</w:t>
      </w:r>
    </w:p>
    <w:p w:rsidR="00E750BE" w:rsidRDefault="00E750BE" w:rsidP="00B251B9">
      <w:pPr>
        <w:jc w:val="both"/>
      </w:pPr>
    </w:p>
    <w:p w:rsidR="00E750BE" w:rsidRDefault="00E750BE" w:rsidP="00E750BE">
      <w:pPr>
        <w:jc w:val="both"/>
      </w:pPr>
      <w:r>
        <w:t xml:space="preserve">V návaznosti na žádosti dodavatelů o vysvětlení zadávací dokumentace v souladu s </w:t>
      </w:r>
      <w:proofErr w:type="spellStart"/>
      <w:r>
        <w:t>ust</w:t>
      </w:r>
      <w:proofErr w:type="spellEnd"/>
      <w:r>
        <w:t>. § 98 odst. 3 zákona č. 134/2016 Sb., o zadávání veřejných zakázek, v platném znění, předkládáme vysvětlení zadávací dokumentace k výše uvedené veřejné zakázce.</w:t>
      </w:r>
    </w:p>
    <w:p w:rsidR="00E750BE" w:rsidRDefault="00E750BE" w:rsidP="00E750BE">
      <w:pPr>
        <w:jc w:val="both"/>
      </w:pPr>
      <w:r>
        <w:t>Dotaz:</w:t>
      </w:r>
    </w:p>
    <w:p w:rsidR="0063481F" w:rsidRDefault="00AC47D5" w:rsidP="0063481F">
      <w:pPr>
        <w:jc w:val="both"/>
      </w:pPr>
      <w:r>
        <w:t>„</w:t>
      </w:r>
      <w:r w:rsidR="0063481F">
        <w:t xml:space="preserve">Takto koncipovanou smlouvu, by každý soud zcela jistě prohlásil za neplatnou, jelikož smlouva je zcela </w:t>
      </w:r>
      <w:proofErr w:type="gramStart"/>
      <w:r w:rsidR="0063481F">
        <w:t>nevyvážená</w:t>
      </w:r>
      <w:proofErr w:type="gramEnd"/>
      <w:r w:rsidR="0063481F">
        <w:t xml:space="preserve"> a jednostranná a její jednotlivá ustanovení odporují dobrým mravům. Například samotný požadavek objednavatele, že jakékoli </w:t>
      </w:r>
      <w:proofErr w:type="spellStart"/>
      <w:r w:rsidR="0063481F">
        <w:t>víceprace</w:t>
      </w:r>
      <w:proofErr w:type="spellEnd"/>
      <w:r w:rsidR="0063481F">
        <w:t xml:space="preserve">, které dokumentace v rozpočtu neočekává a jež se vyskytnou během stavby, nebude objednatel hradit a „na výši ceny díla </w:t>
      </w:r>
      <w:proofErr w:type="spellStart"/>
      <w:r w:rsidR="0063481F">
        <w:t>nem</w:t>
      </w:r>
      <w:proofErr w:type="spellEnd"/>
      <w:r w:rsidR="0063481F">
        <w:t xml:space="preserve"> á vliv, že tato cena byla dohodnuta na základě jejího rozpisu“. V další větě smlouva ale nezapomíná zdůraznit, že každé </w:t>
      </w:r>
      <w:proofErr w:type="spellStart"/>
      <w:r w:rsidR="0063481F">
        <w:t>méněpráce</w:t>
      </w:r>
      <w:proofErr w:type="spellEnd"/>
      <w:r w:rsidR="0063481F">
        <w:t xml:space="preserve"> na díle bude objednavatel odečítat z celkové ceny díla. Neuznávat vícepráce, ale odečítat každé </w:t>
      </w:r>
      <w:proofErr w:type="spellStart"/>
      <w:r w:rsidR="0063481F">
        <w:t>méněpráce</w:t>
      </w:r>
      <w:proofErr w:type="spellEnd"/>
      <w:r w:rsidR="0063481F">
        <w:t xml:space="preserve"> je zcela nevyvážené a jednostranné v rozporu s dobrými mravy, neboť nárok objednatele je odůvodněn pouze zjevně nevýhodným ujednáním smlouvy.</w:t>
      </w:r>
    </w:p>
    <w:p w:rsidR="00AC47D5" w:rsidRDefault="0063481F" w:rsidP="0063481F">
      <w:pPr>
        <w:jc w:val="both"/>
      </w:pPr>
      <w:r>
        <w:t>Jednání objednavatele je zcela jistě v rozporu s právními předpisy a proto je na místě zdůraznit základní právní princip ovládající náš právní řád, kdy z bezpráví právo nevznikne ("</w:t>
      </w:r>
      <w:proofErr w:type="spellStart"/>
      <w:r>
        <w:t>Ius</w:t>
      </w:r>
      <w:proofErr w:type="spellEnd"/>
      <w:r>
        <w:t xml:space="preserve"> ex </w:t>
      </w:r>
      <w:proofErr w:type="spellStart"/>
      <w:r>
        <w:t>iniuria</w:t>
      </w:r>
      <w:proofErr w:type="spellEnd"/>
      <w:r>
        <w:t xml:space="preserve"> non </w:t>
      </w:r>
      <w:proofErr w:type="spellStart"/>
      <w:r>
        <w:t>oritur</w:t>
      </w:r>
      <w:proofErr w:type="spellEnd"/>
      <w:r>
        <w:t xml:space="preserve">"). Při zhodnocení všech výše uvedených skutečností je nutné dojít k závěru, že na základě protiprávního ustanovení ve smlouvě objednavatele nemůže být uzavřena platná smlouva a proto musí být nutně taková smlouva absolutně neplatná. Prosíme o zaslání </w:t>
      </w:r>
      <w:proofErr w:type="gramStart"/>
      <w:r>
        <w:t>informace zda</w:t>
      </w:r>
      <w:proofErr w:type="gramEnd"/>
      <w:r>
        <w:t xml:space="preserve"> můžeme použít do VŘ náš návrh smlouvy?</w:t>
      </w:r>
      <w:r w:rsidR="00AC47D5">
        <w:t>“</w:t>
      </w:r>
    </w:p>
    <w:p w:rsidR="00E750BE" w:rsidRDefault="00E750BE" w:rsidP="0063481F">
      <w:pPr>
        <w:jc w:val="both"/>
      </w:pPr>
      <w:r>
        <w:t>Odpověď:</w:t>
      </w:r>
    </w:p>
    <w:p w:rsidR="0063481F" w:rsidRDefault="0063481F" w:rsidP="0063481F">
      <w:pPr>
        <w:jc w:val="both"/>
      </w:pPr>
      <w:r>
        <w:t xml:space="preserve">Předpokládáme, že hovoříte o odstavci </w:t>
      </w:r>
      <w:proofErr w:type="gramStart"/>
      <w:r>
        <w:t>2.2. článku</w:t>
      </w:r>
      <w:proofErr w:type="gramEnd"/>
      <w:r>
        <w:t xml:space="preserve"> IV. </w:t>
      </w:r>
      <w:proofErr w:type="spellStart"/>
      <w:r>
        <w:t>SoD</w:t>
      </w:r>
      <w:proofErr w:type="spellEnd"/>
      <w:r>
        <w:t xml:space="preserve">. Chceme zdůraznit, že dle odstavce 3 téhož článku jsou vícepráce možné. Proto jsme přesvědčeni, že návrh </w:t>
      </w:r>
      <w:proofErr w:type="spellStart"/>
      <w:r>
        <w:t>SoD</w:t>
      </w:r>
      <w:proofErr w:type="spellEnd"/>
      <w:r>
        <w:t xml:space="preserve"> je právně v pořádku. Na Váš dotaz tedy odpovídáme, že není možné použít vlastní návrh </w:t>
      </w:r>
      <w:proofErr w:type="spellStart"/>
      <w:r>
        <w:t>SoD</w:t>
      </w:r>
      <w:proofErr w:type="spellEnd"/>
      <w:r>
        <w:t>.</w:t>
      </w:r>
    </w:p>
    <w:p w:rsidR="00AC47D5" w:rsidRDefault="00AC47D5" w:rsidP="00AC47D5">
      <w:pPr>
        <w:jc w:val="both"/>
      </w:pPr>
    </w:p>
    <w:p w:rsidR="0063481F" w:rsidRDefault="0063481F" w:rsidP="00AC47D5">
      <w:pPr>
        <w:jc w:val="both"/>
      </w:pPr>
    </w:p>
    <w:p w:rsidR="00AC47D5" w:rsidRDefault="00AC47D5" w:rsidP="00AC47D5">
      <w:pPr>
        <w:spacing w:line="240" w:lineRule="auto"/>
        <w:jc w:val="both"/>
      </w:pPr>
      <w:r>
        <w:t>RNDr. Mojmír Krejčíček</w:t>
      </w:r>
    </w:p>
    <w:p w:rsidR="00AC47D5" w:rsidRDefault="00AC47D5" w:rsidP="00AC47D5">
      <w:pPr>
        <w:spacing w:line="240" w:lineRule="auto"/>
        <w:jc w:val="both"/>
      </w:pPr>
      <w:r>
        <w:t>starosta</w:t>
      </w:r>
    </w:p>
    <w:sectPr w:rsidR="00AC47D5" w:rsidSect="003016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418" w:rsidRDefault="004A3418" w:rsidP="00B251B9">
      <w:pPr>
        <w:spacing w:after="0" w:line="240" w:lineRule="auto"/>
      </w:pPr>
      <w:r>
        <w:separator/>
      </w:r>
    </w:p>
  </w:endnote>
  <w:endnote w:type="continuationSeparator" w:id="0">
    <w:p w:rsidR="004A3418" w:rsidRDefault="004A3418" w:rsidP="00B2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18" w:rsidRDefault="004A3418" w:rsidP="00E04888">
    <w:pPr>
      <w:pStyle w:val="Zpat"/>
      <w:tabs>
        <w:tab w:val="center" w:pos="1440"/>
        <w:tab w:val="left" w:pos="3420"/>
        <w:tab w:val="left" w:pos="6285"/>
      </w:tabs>
      <w:rPr>
        <w:rStyle w:val="slostrnky"/>
        <w:rFonts w:ascii="Arial" w:hAnsi="Arial" w:cs="Arial"/>
        <w:color w:val="003C69"/>
        <w:sz w:val="16"/>
      </w:rPr>
    </w:pPr>
    <w:r>
      <w:rPr>
        <w:rFonts w:ascii="Arial" w:hAnsi="Arial" w:cs="Arial"/>
        <w:noProof/>
        <w:color w:val="003C69"/>
        <w:sz w:val="16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4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4BD9">
      <w:rPr>
        <w:rStyle w:val="slostrnky"/>
        <w:rFonts w:ascii="Arial" w:hAnsi="Arial" w:cs="Arial"/>
        <w:color w:val="003C69"/>
        <w:sz w:val="16"/>
      </w:rPr>
      <w:t>Junácká 127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  <w:r>
      <w:rPr>
        <w:rStyle w:val="slostrnky"/>
        <w:rFonts w:ascii="Arial" w:hAnsi="Arial" w:cs="Arial"/>
        <w:color w:val="003C69"/>
        <w:sz w:val="16"/>
      </w:rPr>
      <w:tab/>
    </w:r>
  </w:p>
  <w:p w:rsidR="004A3418" w:rsidRDefault="004A3418" w:rsidP="00E04888">
    <w:pPr>
      <w:pStyle w:val="Zpat"/>
      <w:tabs>
        <w:tab w:val="center" w:pos="1440"/>
        <w:tab w:val="left" w:pos="3420"/>
      </w:tabs>
      <w:rPr>
        <w:rStyle w:val="slostrnky"/>
        <w:rFonts w:ascii="Arial" w:hAnsi="Arial" w:cs="Arial"/>
        <w:color w:val="003C69"/>
        <w:sz w:val="16"/>
      </w:rPr>
    </w:pPr>
    <w:r w:rsidRPr="007D4BD9">
      <w:rPr>
        <w:rStyle w:val="slostrnky"/>
        <w:rFonts w:ascii="Arial" w:hAnsi="Arial" w:cs="Arial"/>
        <w:color w:val="003C69"/>
        <w:sz w:val="16"/>
      </w:rPr>
      <w:t>724 00</w:t>
    </w:r>
    <w:r>
      <w:rPr>
        <w:rStyle w:val="slostrnky"/>
        <w:rFonts w:ascii="Arial" w:hAnsi="Arial" w:cs="Arial"/>
        <w:color w:val="003C69"/>
        <w:sz w:val="16"/>
      </w:rPr>
      <w:t xml:space="preserve"> Ostrava – Stará Bělá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 xml:space="preserve">Číslo </w:t>
    </w:r>
    <w:proofErr w:type="gramStart"/>
    <w:r w:rsidRPr="00A6243B">
      <w:rPr>
        <w:rStyle w:val="slostrnky"/>
        <w:rFonts w:ascii="Arial" w:hAnsi="Arial" w:cs="Arial"/>
        <w:b/>
        <w:color w:val="003C69"/>
        <w:sz w:val="16"/>
      </w:rPr>
      <w:t>účtu</w:t>
    </w:r>
    <w:r>
      <w:rPr>
        <w:rStyle w:val="slostrnky"/>
        <w:rFonts w:ascii="Arial" w:hAnsi="Arial" w:cs="Arial"/>
        <w:color w:val="003C69"/>
        <w:sz w:val="16"/>
      </w:rPr>
      <w:t xml:space="preserve">  19</w:t>
    </w:r>
    <w:proofErr w:type="gramEnd"/>
    <w:r>
      <w:rPr>
        <w:rStyle w:val="slostrnky"/>
        <w:rFonts w:ascii="Arial" w:hAnsi="Arial" w:cs="Arial"/>
        <w:color w:val="003C69"/>
        <w:sz w:val="16"/>
      </w:rPr>
      <w:t>-1645817389/0800</w:t>
    </w:r>
  </w:p>
  <w:p w:rsidR="004A3418" w:rsidRPr="00E04888" w:rsidRDefault="004A3418" w:rsidP="00E04888">
    <w:pPr>
      <w:pStyle w:val="Zpat"/>
      <w:tabs>
        <w:tab w:val="center" w:pos="180"/>
        <w:tab w:val="left" w:pos="3420"/>
      </w:tabs>
      <w:ind w:left="-28" w:hanging="539"/>
      <w:rPr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E56657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E56657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</w:r>
    <w:r w:rsidRPr="007D4BD9">
      <w:rPr>
        <w:rStyle w:val="slostrnky"/>
        <w:rFonts w:ascii="Arial" w:hAnsi="Arial" w:cs="Arial"/>
        <w:b/>
        <w:color w:val="003C69"/>
        <w:sz w:val="16"/>
      </w:rPr>
      <w:t>www.starabela.cz</w:t>
    </w:r>
    <w:r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418" w:rsidRDefault="004A3418" w:rsidP="00B251B9">
      <w:pPr>
        <w:spacing w:after="0" w:line="240" w:lineRule="auto"/>
      </w:pPr>
      <w:r>
        <w:separator/>
      </w:r>
    </w:p>
  </w:footnote>
  <w:footnote w:type="continuationSeparator" w:id="0">
    <w:p w:rsidR="004A3418" w:rsidRDefault="004A3418" w:rsidP="00B25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18" w:rsidRDefault="004A3418" w:rsidP="00E04888">
    <w:pPr>
      <w:tabs>
        <w:tab w:val="left" w:pos="720"/>
      </w:tabs>
      <w:spacing w:after="0"/>
      <w:ind w:firstLine="709"/>
      <w:outlineLvl w:val="0"/>
      <w:rPr>
        <w:rFonts w:ascii="Arial" w:hAnsi="Arial" w:cs="Arial"/>
        <w:color w:val="003C69"/>
        <w:sz w:val="20"/>
      </w:rPr>
    </w:pPr>
    <w:r w:rsidRPr="00CA5DAD">
      <w:rPr>
        <w:rFonts w:ascii="Arial" w:hAnsi="Arial" w:cs="Arial"/>
        <w:color w:val="003C69"/>
        <w:sz w:val="20"/>
      </w:rPr>
      <w:t>Statutární město Ostrava</w:t>
    </w:r>
  </w:p>
  <w:p w:rsidR="004A3418" w:rsidRPr="00CA5DAD" w:rsidRDefault="004A3418" w:rsidP="00E04888">
    <w:pPr>
      <w:tabs>
        <w:tab w:val="left" w:pos="720"/>
      </w:tabs>
      <w:spacing w:line="240" w:lineRule="auto"/>
      <w:rPr>
        <w:rFonts w:ascii="Arial" w:hAnsi="Arial" w:cs="Arial"/>
        <w:b/>
        <w:color w:val="003C69"/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-189230</wp:posOffset>
          </wp:positionV>
          <wp:extent cx="352425" cy="390525"/>
          <wp:effectExtent l="0" t="0" r="9525" b="9525"/>
          <wp:wrapSquare wrapText="bothSides"/>
          <wp:docPr id="3" name="obrázek 2" descr="Stara_Bel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ra_Bel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3C69"/>
        <w:sz w:val="20"/>
      </w:rPr>
      <w:tab/>
      <w:t>Městský obvod</w:t>
    </w:r>
    <w:r w:rsidRPr="00B22175">
      <w:rPr>
        <w:rFonts w:ascii="Arial" w:hAnsi="Arial" w:cs="Arial"/>
        <w:b/>
        <w:color w:val="003C69"/>
        <w:sz w:val="20"/>
      </w:rPr>
      <w:t xml:space="preserve"> </w:t>
    </w:r>
    <w:r>
      <w:rPr>
        <w:rFonts w:ascii="Arial" w:hAnsi="Arial" w:cs="Arial"/>
        <w:b/>
        <w:color w:val="003C69"/>
        <w:sz w:val="20"/>
      </w:rPr>
      <w:t>Stará Bělá</w:t>
    </w:r>
  </w:p>
  <w:p w:rsidR="004A3418" w:rsidRDefault="004A341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B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2B6C3E"/>
    <w:multiLevelType w:val="hybridMultilevel"/>
    <w:tmpl w:val="93301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2628F"/>
    <w:multiLevelType w:val="multilevel"/>
    <w:tmpl w:val="42FC4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1C1E5861"/>
    <w:multiLevelType w:val="hybridMultilevel"/>
    <w:tmpl w:val="927899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7122A"/>
    <w:multiLevelType w:val="hybridMultilevel"/>
    <w:tmpl w:val="BBEE31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76FA2"/>
    <w:multiLevelType w:val="hybridMultilevel"/>
    <w:tmpl w:val="D9680568"/>
    <w:lvl w:ilvl="0" w:tplc="B43A8DEE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D138F5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F3A75"/>
    <w:multiLevelType w:val="hybridMultilevel"/>
    <w:tmpl w:val="9DCC4078"/>
    <w:lvl w:ilvl="0" w:tplc="8B386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71D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A3DF2"/>
    <w:multiLevelType w:val="hybridMultilevel"/>
    <w:tmpl w:val="BD38889A"/>
    <w:lvl w:ilvl="0" w:tplc="B61E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562C7"/>
    <w:multiLevelType w:val="hybridMultilevel"/>
    <w:tmpl w:val="25F0B4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5229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837061"/>
    <w:multiLevelType w:val="hybridMultilevel"/>
    <w:tmpl w:val="26F60B94"/>
    <w:lvl w:ilvl="0" w:tplc="1D80073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00D37"/>
    <w:multiLevelType w:val="hybridMultilevel"/>
    <w:tmpl w:val="642EA3B8"/>
    <w:lvl w:ilvl="0" w:tplc="C220F340">
      <w:start w:val="1"/>
      <w:numFmt w:val="decimal"/>
      <w:lvlText w:val="příloha č. %1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64C00"/>
    <w:multiLevelType w:val="hybridMultilevel"/>
    <w:tmpl w:val="5142AA1E"/>
    <w:lvl w:ilvl="0" w:tplc="B61E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41475"/>
    <w:multiLevelType w:val="hybridMultilevel"/>
    <w:tmpl w:val="28082BBE"/>
    <w:lvl w:ilvl="0" w:tplc="B61E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240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13"/>
  </w:num>
  <w:num w:numId="6">
    <w:abstractNumId w:val="14"/>
  </w:num>
  <w:num w:numId="7">
    <w:abstractNumId w:val="6"/>
  </w:num>
  <w:num w:numId="8">
    <w:abstractNumId w:val="3"/>
  </w:num>
  <w:num w:numId="9">
    <w:abstractNumId w:val="4"/>
  </w:num>
  <w:num w:numId="10">
    <w:abstractNumId w:val="15"/>
  </w:num>
  <w:num w:numId="11">
    <w:abstractNumId w:val="8"/>
  </w:num>
  <w:num w:numId="12">
    <w:abstractNumId w:val="10"/>
  </w:num>
  <w:num w:numId="13">
    <w:abstractNumId w:val="7"/>
  </w:num>
  <w:num w:numId="14">
    <w:abstractNumId w:val="0"/>
  </w:num>
  <w:num w:numId="15">
    <w:abstractNumId w:val="12"/>
  </w:num>
  <w:num w:numId="16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řínek Michal">
    <w15:presenceInfo w15:providerId="AD" w15:userId="S-1-5-21-2025429265-1757981266-725345543-122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1B9"/>
    <w:rsid w:val="000214D2"/>
    <w:rsid w:val="00023911"/>
    <w:rsid w:val="00025851"/>
    <w:rsid w:val="00101918"/>
    <w:rsid w:val="00106310"/>
    <w:rsid w:val="00111506"/>
    <w:rsid w:val="001204C3"/>
    <w:rsid w:val="00122075"/>
    <w:rsid w:val="00126CF4"/>
    <w:rsid w:val="00126D6A"/>
    <w:rsid w:val="00216020"/>
    <w:rsid w:val="00235624"/>
    <w:rsid w:val="00262C39"/>
    <w:rsid w:val="00291110"/>
    <w:rsid w:val="002D1137"/>
    <w:rsid w:val="002E00CF"/>
    <w:rsid w:val="00301695"/>
    <w:rsid w:val="00311899"/>
    <w:rsid w:val="003A67E6"/>
    <w:rsid w:val="003C0251"/>
    <w:rsid w:val="003D2FEC"/>
    <w:rsid w:val="003D48C9"/>
    <w:rsid w:val="004319E9"/>
    <w:rsid w:val="00493F83"/>
    <w:rsid w:val="00497DDB"/>
    <w:rsid w:val="004A3418"/>
    <w:rsid w:val="00534265"/>
    <w:rsid w:val="00541B21"/>
    <w:rsid w:val="00555A93"/>
    <w:rsid w:val="00585040"/>
    <w:rsid w:val="00592FC6"/>
    <w:rsid w:val="005C726A"/>
    <w:rsid w:val="005D5178"/>
    <w:rsid w:val="006018A9"/>
    <w:rsid w:val="0063481F"/>
    <w:rsid w:val="00642D24"/>
    <w:rsid w:val="0068524E"/>
    <w:rsid w:val="006931C3"/>
    <w:rsid w:val="006B7AED"/>
    <w:rsid w:val="006C1A01"/>
    <w:rsid w:val="007C029C"/>
    <w:rsid w:val="007C13C2"/>
    <w:rsid w:val="007E389E"/>
    <w:rsid w:val="008144E5"/>
    <w:rsid w:val="008975A5"/>
    <w:rsid w:val="0091591B"/>
    <w:rsid w:val="00936B21"/>
    <w:rsid w:val="009922C4"/>
    <w:rsid w:val="009A5FB0"/>
    <w:rsid w:val="009D4B7F"/>
    <w:rsid w:val="00A01B4D"/>
    <w:rsid w:val="00A22E58"/>
    <w:rsid w:val="00A27FDA"/>
    <w:rsid w:val="00A73313"/>
    <w:rsid w:val="00A809B0"/>
    <w:rsid w:val="00A96219"/>
    <w:rsid w:val="00AC06FC"/>
    <w:rsid w:val="00AC47D5"/>
    <w:rsid w:val="00B251B9"/>
    <w:rsid w:val="00B273BE"/>
    <w:rsid w:val="00B60C14"/>
    <w:rsid w:val="00B71B53"/>
    <w:rsid w:val="00B8218D"/>
    <w:rsid w:val="00B84256"/>
    <w:rsid w:val="00B904DE"/>
    <w:rsid w:val="00BB2BBC"/>
    <w:rsid w:val="00BD5C90"/>
    <w:rsid w:val="00BF0D92"/>
    <w:rsid w:val="00C109C2"/>
    <w:rsid w:val="00CB5F3E"/>
    <w:rsid w:val="00CE73EE"/>
    <w:rsid w:val="00D10C74"/>
    <w:rsid w:val="00D1462C"/>
    <w:rsid w:val="00E04888"/>
    <w:rsid w:val="00E06E6E"/>
    <w:rsid w:val="00E10692"/>
    <w:rsid w:val="00E54DE5"/>
    <w:rsid w:val="00E56657"/>
    <w:rsid w:val="00E6516D"/>
    <w:rsid w:val="00E750BE"/>
    <w:rsid w:val="00E84634"/>
    <w:rsid w:val="00E91342"/>
    <w:rsid w:val="00EA6748"/>
    <w:rsid w:val="00ED096F"/>
    <w:rsid w:val="00EE6D8E"/>
    <w:rsid w:val="00F54CFB"/>
    <w:rsid w:val="00F6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695"/>
  </w:style>
  <w:style w:type="paragraph" w:styleId="Nadpis1">
    <w:name w:val="heading 1"/>
    <w:basedOn w:val="Normln"/>
    <w:next w:val="Normln"/>
    <w:link w:val="Nadpis1Char"/>
    <w:uiPriority w:val="9"/>
    <w:qFormat/>
    <w:rsid w:val="00126D6A"/>
    <w:pPr>
      <w:keepNext/>
      <w:keepLines/>
      <w:numPr>
        <w:numId w:val="3"/>
      </w:numPr>
      <w:spacing w:before="480" w:after="0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1110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25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51B9"/>
  </w:style>
  <w:style w:type="paragraph" w:styleId="Zpat">
    <w:name w:val="footer"/>
    <w:basedOn w:val="Normln"/>
    <w:link w:val="ZpatChar"/>
    <w:unhideWhenUsed/>
    <w:rsid w:val="00B25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251B9"/>
  </w:style>
  <w:style w:type="character" w:styleId="slostrnky">
    <w:name w:val="page number"/>
    <w:basedOn w:val="Standardnpsmoodstavce"/>
    <w:rsid w:val="00E04888"/>
  </w:style>
  <w:style w:type="paragraph" w:styleId="Odstavecseseznamem">
    <w:name w:val="List Paragraph"/>
    <w:basedOn w:val="Normln"/>
    <w:uiPriority w:val="34"/>
    <w:qFormat/>
    <w:rsid w:val="003A67E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26D6A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73BE"/>
    <w:rPr>
      <w:rFonts w:ascii="Calibri" w:eastAsiaTheme="majorEastAsia" w:hAnsi="Calibri" w:cstheme="majorBidi"/>
      <w:b/>
      <w:bCs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9922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22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22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22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22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2C4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63481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3481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CEB8D-DE70-42AF-BA22-5AA18CAE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novakma</dc:creator>
  <cp:lastModifiedBy>novakma</cp:lastModifiedBy>
  <cp:revision>4</cp:revision>
  <cp:lastPrinted>2017-03-31T11:15:00Z</cp:lastPrinted>
  <dcterms:created xsi:type="dcterms:W3CDTF">2017-03-31T11:10:00Z</dcterms:created>
  <dcterms:modified xsi:type="dcterms:W3CDTF">2017-03-31T11:46:00Z</dcterms:modified>
</cp:coreProperties>
</file>